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D8" w:rsidRDefault="00F379D8" w:rsidP="00F379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«Пахомовская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«Пахомовская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328"/>
        <w:gridCol w:w="4849"/>
      </w:tblGrid>
      <w:tr w:rsidR="00F379D8" w:rsidRPr="00461B67" w:rsidTr="00DB5D74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9D8" w:rsidRDefault="00F379D8" w:rsidP="00DB5D7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«Пахомовская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9D8" w:rsidRDefault="00F379D8" w:rsidP="00DB5D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«Пахомовская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Шилкина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highlight w:val="yellow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229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379D8" w:rsidRDefault="00F379D8" w:rsidP="00F379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79D8" w:rsidRDefault="00F379D8" w:rsidP="00F379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F379D8" w:rsidRDefault="00F379D8" w:rsidP="00F379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«Пахомовская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«Пахомовская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освоившего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79D8" w:rsidRDefault="00F379D8" w:rsidP="00F379D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79D8" w:rsidRDefault="00F379D8" w:rsidP="00F379D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79D8" w:rsidRDefault="00F379D8" w:rsidP="00F379D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вакантных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379D8" w:rsidRDefault="00F379D8" w:rsidP="00F379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переноситься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лабораторное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биологической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меньшем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обратилось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прослушанных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9D8" w:rsidRDefault="00F379D8" w:rsidP="00F379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3331" w:rsidRPr="00F379D8" w:rsidRDefault="00213331">
      <w:pPr>
        <w:rPr>
          <w:lang w:val="ru-RU"/>
        </w:rPr>
      </w:pPr>
      <w:bookmarkStart w:id="0" w:name="_GoBack"/>
      <w:bookmarkEnd w:id="0"/>
    </w:p>
    <w:sectPr w:rsidR="00213331" w:rsidRPr="00F379D8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278EB"/>
    <w:multiLevelType w:val="hybridMultilevel"/>
    <w:tmpl w:val="4790C942"/>
    <w:lvl w:ilvl="0" w:tplc="A014B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8A6E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CE3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02DD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C46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267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DC78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FE12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00B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D8"/>
    <w:rsid w:val="00007DF7"/>
    <w:rsid w:val="00213331"/>
    <w:rsid w:val="00F3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D8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D8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Пахомовская СОШ</dc:creator>
  <cp:lastModifiedBy>МКОУ Пахомовская СОШ</cp:lastModifiedBy>
  <cp:revision>1</cp:revision>
  <dcterms:created xsi:type="dcterms:W3CDTF">2023-09-19T07:35:00Z</dcterms:created>
  <dcterms:modified xsi:type="dcterms:W3CDTF">2023-09-19T07:35:00Z</dcterms:modified>
</cp:coreProperties>
</file>